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9E" w:rsidRDefault="006E620B" w:rsidP="008007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073D" w:rsidRDefault="0080073D" w:rsidP="008007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073D" w:rsidRPr="0080073D" w:rsidRDefault="0080073D" w:rsidP="0080073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73D">
        <w:rPr>
          <w:rFonts w:ascii="Times New Roman" w:hAnsi="Times New Roman" w:cs="Times New Roman"/>
          <w:b/>
          <w:sz w:val="32"/>
          <w:szCs w:val="32"/>
        </w:rPr>
        <w:t>Green management In schools For Sustainability</w:t>
      </w:r>
    </w:p>
    <w:p w:rsidR="0080073D" w:rsidRPr="0080073D" w:rsidRDefault="0080073D" w:rsidP="0080073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73D">
        <w:rPr>
          <w:rFonts w:ascii="Times New Roman" w:hAnsi="Times New Roman" w:cs="Times New Roman"/>
          <w:b/>
          <w:sz w:val="32"/>
          <w:szCs w:val="32"/>
        </w:rPr>
        <w:t>GIFs</w:t>
      </w:r>
    </w:p>
    <w:p w:rsidR="0080073D" w:rsidRPr="0080073D" w:rsidRDefault="0080073D" w:rsidP="0080073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73D">
        <w:rPr>
          <w:rFonts w:ascii="Times New Roman" w:hAnsi="Times New Roman" w:cs="Times New Roman"/>
          <w:b/>
          <w:sz w:val="32"/>
          <w:szCs w:val="32"/>
        </w:rPr>
        <w:t>2022-1-RO01-KA220-SCH-000088088</w:t>
      </w:r>
    </w:p>
    <w:p w:rsidR="0080073D" w:rsidRDefault="00932BDB" w:rsidP="0080073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Project Implementation P</w:t>
      </w:r>
      <w:r w:rsidRPr="00932BDB">
        <w:rPr>
          <w:rFonts w:ascii="Times New Roman" w:hAnsi="Times New Roman" w:cs="Times New Roman"/>
          <w:b/>
          <w:sz w:val="28"/>
          <w:szCs w:val="28"/>
        </w:rPr>
        <w:t>lan</w:t>
      </w:r>
    </w:p>
    <w:p w:rsidR="00932BDB" w:rsidRDefault="00932BDB" w:rsidP="0080073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2693"/>
        <w:gridCol w:w="1701"/>
        <w:gridCol w:w="1559"/>
        <w:gridCol w:w="2694"/>
        <w:gridCol w:w="2458"/>
      </w:tblGrid>
      <w:tr w:rsidR="00FC37DB" w:rsidTr="00F80FB4">
        <w:tc>
          <w:tcPr>
            <w:tcW w:w="704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276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Work Packages</w:t>
            </w:r>
          </w:p>
        </w:tc>
        <w:tc>
          <w:tcPr>
            <w:tcW w:w="2693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Necessary resources (human, financial)</w:t>
            </w:r>
          </w:p>
        </w:tc>
        <w:tc>
          <w:tcPr>
            <w:tcW w:w="1701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1559" w:type="dxa"/>
          </w:tcPr>
          <w:p w:rsidR="00932BDB" w:rsidRPr="008A7E20" w:rsidRDefault="00FC37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694" w:type="dxa"/>
          </w:tcPr>
          <w:p w:rsidR="00932BDB" w:rsidRPr="008A7E20" w:rsidRDefault="00932BDB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results/outcomes</w:t>
            </w:r>
          </w:p>
        </w:tc>
        <w:tc>
          <w:tcPr>
            <w:tcW w:w="2458" w:type="dxa"/>
          </w:tcPr>
          <w:p w:rsidR="00932BDB" w:rsidRPr="008A7E20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20">
              <w:rPr>
                <w:rFonts w:ascii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</w:tr>
      <w:tr w:rsidR="00FC37DB" w:rsidTr="00F80FB4">
        <w:tc>
          <w:tcPr>
            <w:tcW w:w="704" w:type="dxa"/>
          </w:tcPr>
          <w:p w:rsidR="00932B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32BDB" w:rsidRDefault="00FC37D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DB">
              <w:rPr>
                <w:rFonts w:ascii="Times New Roman" w:hAnsi="Times New Roman" w:cs="Times New Roman"/>
                <w:sz w:val="24"/>
                <w:szCs w:val="24"/>
              </w:rPr>
              <w:t>Partnership development at consortium level</w:t>
            </w:r>
          </w:p>
          <w:p w:rsidR="00FC37DB" w:rsidRDefault="00FC37D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DB">
              <w:rPr>
                <w:rFonts w:ascii="Times New Roman" w:hAnsi="Times New Roman" w:cs="Times New Roman"/>
                <w:sz w:val="24"/>
                <w:szCs w:val="24"/>
              </w:rPr>
              <w:t>Ensuring quality project management</w:t>
            </w:r>
          </w:p>
        </w:tc>
        <w:tc>
          <w:tcPr>
            <w:tcW w:w="1276" w:type="dxa"/>
          </w:tcPr>
          <w:p w:rsidR="00932BDB" w:rsidRPr="00FC37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7DB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r w:rsidR="00CA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2BDB" w:rsidRDefault="00FC37D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DB">
              <w:rPr>
                <w:rFonts w:ascii="Times New Roman" w:hAnsi="Times New Roman" w:cs="Times New Roman"/>
                <w:sz w:val="24"/>
                <w:szCs w:val="24"/>
              </w:rPr>
              <w:t>The project team of each partner organization</w:t>
            </w:r>
          </w:p>
          <w:p w:rsidR="00FC37DB" w:rsidRDefault="00FC37D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 euros</w:t>
            </w:r>
          </w:p>
        </w:tc>
        <w:tc>
          <w:tcPr>
            <w:tcW w:w="1701" w:type="dxa"/>
          </w:tcPr>
          <w:p w:rsidR="00932BDB" w:rsidRDefault="00FC37DB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CNSH Tecuci, Romania</w:t>
            </w:r>
          </w:p>
        </w:tc>
        <w:tc>
          <w:tcPr>
            <w:tcW w:w="1559" w:type="dxa"/>
          </w:tcPr>
          <w:p w:rsidR="00932BDB" w:rsidRDefault="00FC37DB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01/09.2022 - 31.08.2024</w:t>
            </w:r>
          </w:p>
        </w:tc>
        <w:tc>
          <w:tcPr>
            <w:tcW w:w="2694" w:type="dxa"/>
          </w:tcPr>
          <w:p w:rsidR="00932BDB" w:rsidRDefault="00B668A6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Increasing</w:t>
            </w:r>
            <w:r w:rsidR="00D30567" w:rsidRPr="00D30567">
              <w:rPr>
                <w:rFonts w:ascii="Times New Roman" w:hAnsi="Times New Roman" w:cs="Times New Roman"/>
                <w:sz w:val="24"/>
                <w:szCs w:val="24"/>
              </w:rPr>
              <w:t xml:space="preserve"> cooperation on green building practices</w:t>
            </w:r>
          </w:p>
        </w:tc>
        <w:tc>
          <w:tcPr>
            <w:tcW w:w="2458" w:type="dxa"/>
          </w:tcPr>
          <w:p w:rsidR="00932BDB" w:rsidRDefault="00D30567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67">
              <w:rPr>
                <w:rFonts w:ascii="Times New Roman" w:hAnsi="Times New Roman" w:cs="Times New Roman"/>
                <w:sz w:val="24"/>
                <w:szCs w:val="24"/>
              </w:rPr>
              <w:t>The quality of the project’s results</w:t>
            </w:r>
          </w:p>
          <w:p w:rsidR="00D30567" w:rsidRDefault="00D30567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67">
              <w:rPr>
                <w:rFonts w:ascii="Times New Roman" w:hAnsi="Times New Roman" w:cs="Times New Roman"/>
                <w:sz w:val="24"/>
                <w:szCs w:val="24"/>
              </w:rPr>
              <w:t>The quality of the dissemination</w:t>
            </w:r>
          </w:p>
          <w:p w:rsidR="00D30567" w:rsidRDefault="00D30567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67">
              <w:rPr>
                <w:rFonts w:ascii="Times New Roman" w:hAnsi="Times New Roman" w:cs="Times New Roman"/>
                <w:sz w:val="24"/>
                <w:szCs w:val="24"/>
              </w:rPr>
              <w:t>Quality evaluation from external stakeholders</w:t>
            </w:r>
          </w:p>
        </w:tc>
      </w:tr>
      <w:tr w:rsidR="00FC37DB" w:rsidTr="00F80FB4">
        <w:tc>
          <w:tcPr>
            <w:tcW w:w="704" w:type="dxa"/>
          </w:tcPr>
          <w:p w:rsidR="00932B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Increase participating organisations’ knowledge regarding green building practices through a research phase;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Create an educational material to raise awareness and increase the knowledge of teachers and schools’ staff members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regarding green building practices.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Providing teachers and schools’ staff members with knowledge regarding green building practices and methodologies on</w:t>
            </w:r>
          </w:p>
          <w:p w:rsidR="00932BDB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to implement them in their schools.</w:t>
            </w:r>
          </w:p>
          <w:p w:rsid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Promote schools’ cooperation on green building practices</w:t>
            </w:r>
          </w:p>
        </w:tc>
        <w:tc>
          <w:tcPr>
            <w:tcW w:w="1276" w:type="dxa"/>
          </w:tcPr>
          <w:p w:rsidR="00932BDB" w:rsidRPr="00FC37DB" w:rsidRDefault="00B668A6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WP</w:t>
            </w:r>
            <w:r w:rsidR="00CA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00646" w:rsidRP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1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 xml:space="preserve"> per partner organization to develop the modules assigned. </w:t>
            </w:r>
          </w:p>
          <w:p w:rsidR="00600646" w:rsidRP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1 stakeholder per partner organization with the profile of expert in green building practices</w:t>
            </w:r>
          </w:p>
          <w:p w:rsidR="00600646" w:rsidRP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1 researcher per partner organization involved to</w:t>
            </w:r>
          </w:p>
          <w:p w:rsid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improve the Guide’s content based on the reviews and based on the WP’s coordinator instructions.</w:t>
            </w:r>
          </w:p>
          <w:p w:rsidR="00600646" w:rsidRP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 xml:space="preserve">Each school involved in the process (participating organization and </w:t>
            </w:r>
            <w:r w:rsidRPr="0060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associated organisation) will select one representative</w:t>
            </w:r>
          </w:p>
          <w:p w:rsid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among their schools’ staff member in order to organize the implementation of the green building practices.</w:t>
            </w:r>
          </w:p>
          <w:p w:rsidR="00600646" w:rsidRDefault="00600646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and teachers of each partner organization, for implementation of </w:t>
            </w:r>
            <w:r w:rsidRPr="00600646">
              <w:rPr>
                <w:rFonts w:ascii="Times New Roman" w:hAnsi="Times New Roman" w:cs="Times New Roman"/>
                <w:sz w:val="24"/>
                <w:szCs w:val="24"/>
              </w:rPr>
              <w:t>the green building practices.</w:t>
            </w:r>
          </w:p>
          <w:p w:rsidR="00661410" w:rsidRDefault="00661410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646" w:rsidRDefault="00661410" w:rsidP="0060064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28700 euros</w:t>
            </w:r>
          </w:p>
        </w:tc>
        <w:tc>
          <w:tcPr>
            <w:tcW w:w="1701" w:type="dxa"/>
          </w:tcPr>
          <w:p w:rsidR="00BD1497" w:rsidRPr="00BD1497" w:rsidRDefault="00BD1497" w:rsidP="00BD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Nachalno uchilishte</w:t>
            </w:r>
          </w:p>
          <w:p w:rsidR="00932BDB" w:rsidRDefault="00BD1497" w:rsidP="00BD14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97">
              <w:rPr>
                <w:rFonts w:ascii="Times New Roman" w:hAnsi="Times New Roman" w:cs="Times New Roman"/>
                <w:sz w:val="24"/>
                <w:szCs w:val="24"/>
              </w:rPr>
              <w:t>Tsani Ginchev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Bulgaria</w:t>
            </w:r>
          </w:p>
        </w:tc>
        <w:tc>
          <w:tcPr>
            <w:tcW w:w="1559" w:type="dxa"/>
          </w:tcPr>
          <w:p w:rsidR="00932BDB" w:rsidRDefault="00BD1497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–</w:t>
            </w:r>
            <w:r w:rsidR="0040702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2694" w:type="dxa"/>
          </w:tcPr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1 Guide explaining the general concept of green building practices and such practices 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implemented in schools with </w:t>
            </w: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concrete examples of existing practices already implemented in European schools;</w:t>
            </w:r>
          </w:p>
          <w:p w:rsidR="00932BDB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The concrete implementation of green building practices in the participating schools.</w:t>
            </w:r>
          </w:p>
        </w:tc>
        <w:tc>
          <w:tcPr>
            <w:tcW w:w="2458" w:type="dxa"/>
          </w:tcPr>
          <w:p w:rsidR="00932BDB" w:rsidRDefault="00B668A6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Concrete participation of all participating organisations within the research phase and the development of the Guide</w:t>
            </w:r>
          </w:p>
          <w:p w:rsidR="00B668A6" w:rsidRDefault="00B668A6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The Guide will be reviewed by real experts in each one of the partner countries to ensure the quality of the content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Number of downloads of the guide after one year of the project’s completion: 50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of likes and shares to the posts disseminating the Guide on the social media at the end of the project: 200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Number of practices contained in the guide implemented concretely in the participating school organisations: at least 3</w:t>
            </w:r>
          </w:p>
          <w:p w:rsidR="00B668A6" w:rsidRP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practices per school partner</w:t>
            </w:r>
          </w:p>
          <w:p w:rsidR="00B668A6" w:rsidRDefault="00B668A6" w:rsidP="00B668A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A6">
              <w:rPr>
                <w:rFonts w:ascii="Times New Roman" w:hAnsi="Times New Roman" w:cs="Times New Roman"/>
                <w:sz w:val="24"/>
                <w:szCs w:val="24"/>
              </w:rPr>
              <w:t>Number of experts taking part in the reviewing process: 5 (1 per partner organisation)</w:t>
            </w:r>
          </w:p>
        </w:tc>
      </w:tr>
      <w:tr w:rsidR="00FC37DB" w:rsidTr="00F80FB4">
        <w:tc>
          <w:tcPr>
            <w:tcW w:w="704" w:type="dxa"/>
          </w:tcPr>
          <w:p w:rsidR="00932B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Promote cooperation between schools and NGOs working with Non-Formal Educati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with young people to propose </w:t>
            </w: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innovative ways of teaching at school;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Offer a way to include the topic of Green Building Practices into school education to reach a wider impact;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 xml:space="preserve">Create a material addressed to schools’ staff members which contains activities </w:t>
            </w:r>
            <w:r w:rsidRPr="00CA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including NFE activities to be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implemented with their students.</w:t>
            </w:r>
          </w:p>
          <w:p w:rsidR="00932BD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Provide teachers and schools’ staff members with methodologies on how to raise stude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nts awareness on green building </w:t>
            </w: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practices and involve them in the process of implementing them at schools</w:t>
            </w:r>
          </w:p>
        </w:tc>
        <w:tc>
          <w:tcPr>
            <w:tcW w:w="1276" w:type="dxa"/>
          </w:tcPr>
          <w:p w:rsidR="00932BDB" w:rsidRPr="00FC37DB" w:rsidRDefault="00CA28EB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WP 3</w:t>
            </w:r>
          </w:p>
        </w:tc>
        <w:tc>
          <w:tcPr>
            <w:tcW w:w="2693" w:type="dxa"/>
          </w:tcPr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Co-creation sessions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The participants will be as follows: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At least 1 representative for each school partner with the profile of teacher;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At least 2 representatives of MVNGO (1 trainer and 1 project manager).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Joint Staff Training Event</w:t>
            </w:r>
          </w:p>
          <w:p w:rsidR="00932BD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 xml:space="preserve">Participants: No. 5 participants per partner belonging to the categories of youth </w:t>
            </w:r>
            <w:r w:rsidRPr="00CA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workers, school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staff, teachers.</w:t>
            </w:r>
          </w:p>
          <w:p w:rsid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Local activities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- 10 participants per school partner;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Aged between 9 and 13 years old;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Registered as student in the school partner at the moment of the local activities;</w:t>
            </w:r>
          </w:p>
          <w:p w:rsid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- Students with disabilities will have priority in the selection process.</w:t>
            </w:r>
          </w:p>
          <w:p w:rsidR="00661410" w:rsidRDefault="00661410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10" w:rsidRDefault="00661410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30100 euros</w:t>
            </w:r>
          </w:p>
        </w:tc>
        <w:tc>
          <w:tcPr>
            <w:tcW w:w="1701" w:type="dxa"/>
          </w:tcPr>
          <w:p w:rsidR="00932BDB" w:rsidRDefault="00CA28EB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Mine Vaganti NGO</w:t>
            </w:r>
            <w:r w:rsidR="00407023">
              <w:rPr>
                <w:rFonts w:ascii="Times New Roman" w:hAnsi="Times New Roman" w:cs="Times New Roman"/>
                <w:sz w:val="24"/>
                <w:szCs w:val="24"/>
              </w:rPr>
              <w:t>, Italy</w:t>
            </w:r>
          </w:p>
        </w:tc>
        <w:tc>
          <w:tcPr>
            <w:tcW w:w="1559" w:type="dxa"/>
          </w:tcPr>
          <w:p w:rsidR="00932BDB" w:rsidRDefault="00407023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– 31.01.2024</w:t>
            </w:r>
          </w:p>
        </w:tc>
        <w:tc>
          <w:tcPr>
            <w:tcW w:w="2694" w:type="dxa"/>
          </w:tcPr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The main WP’s result will be a Toolkit containing Non-Formal Education activities to involve the students in the process of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implementation of green building practices. The Toolkit will also contain a guideline to help Schools to implement these</w:t>
            </w:r>
          </w:p>
          <w:p w:rsidR="00932BD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activities.</w:t>
            </w:r>
          </w:p>
        </w:tc>
        <w:tc>
          <w:tcPr>
            <w:tcW w:w="2458" w:type="dxa"/>
          </w:tcPr>
          <w:p w:rsidR="00932BDB" w:rsidRDefault="00CA28E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Participants into the co-creation session of the Toolkit</w:t>
            </w:r>
          </w:p>
          <w:p w:rsidR="00CA28EB" w:rsidRDefault="00CA28EB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The Toolkit will be tested and evaluated through local activities in each one of the partner countries.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Number of participants to the local activities resulting from the Toolkit implemented by each partner school: 10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 xml:space="preserve">Number of downloads of the Toolkit after one </w:t>
            </w:r>
            <w:r w:rsidRPr="00CA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year of the project’s completion: 50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Number of likes and shares to the posts disseminating the Toolkit on the social media at the end of the project: 200</w:t>
            </w:r>
          </w:p>
          <w:p w:rsidR="00CA28EB" w:rsidRP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Number of the schools among those involved in the present project which will have used the Toolkit after one year</w:t>
            </w:r>
          </w:p>
          <w:p w:rsidR="00CA28EB" w:rsidRDefault="00CA28EB" w:rsidP="00CA28E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B">
              <w:rPr>
                <w:rFonts w:ascii="Times New Roman" w:hAnsi="Times New Roman" w:cs="Times New Roman"/>
                <w:sz w:val="24"/>
                <w:szCs w:val="24"/>
              </w:rPr>
              <w:t>completion of the project (survey): at least 3</w:t>
            </w:r>
          </w:p>
        </w:tc>
      </w:tr>
      <w:tr w:rsidR="00FC37DB" w:rsidTr="00F80FB4">
        <w:tc>
          <w:tcPr>
            <w:tcW w:w="704" w:type="dxa"/>
          </w:tcPr>
          <w:p w:rsidR="00932B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Create a Council designed to promote the cooperation among European schools to implement green building practices;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Sharing of new green building practices;</w:t>
            </w:r>
          </w:p>
          <w:p w:rsidR="00932BDB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Promote new initiatives in green building management</w:t>
            </w:r>
          </w:p>
        </w:tc>
        <w:tc>
          <w:tcPr>
            <w:tcW w:w="1276" w:type="dxa"/>
          </w:tcPr>
          <w:p w:rsidR="00932BDB" w:rsidRPr="00FC37DB" w:rsidRDefault="00407023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 4</w:t>
            </w:r>
          </w:p>
        </w:tc>
        <w:tc>
          <w:tcPr>
            <w:tcW w:w="2693" w:type="dxa"/>
          </w:tcPr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Establishment of the GIFs ESGC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All partners, under the coordination of the WP leader, will produce the results of this activity where the 2 project managers of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each partner organization will be involved.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The Council will count 2 representatives per school member of the Council with the following profile: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Teacher or school staff member with educational experience;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- Experience in education sector of at least 2 years.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First Summit of the GIFs ESGC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2 representatives per school member of the Council will take part in the Summit. They will have the following profile: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- Teacher or school staff member with educational experience;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- Experience in education sector of at least 2 years.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Social Campaign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Participants:</w:t>
            </w:r>
          </w:p>
          <w:p w:rsidR="00932BDB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All the schools’ staff members, teachers and students will be actively involved in the social campaign.</w:t>
            </w:r>
          </w:p>
          <w:p w:rsidR="00661410" w:rsidRDefault="00661410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10" w:rsidRDefault="00661410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 euros</w:t>
            </w:r>
          </w:p>
        </w:tc>
        <w:tc>
          <w:tcPr>
            <w:tcW w:w="1701" w:type="dxa"/>
          </w:tcPr>
          <w:p w:rsidR="00932BDB" w:rsidRDefault="00407023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Özel Filiz Anadolu Lisesi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Türkiye</w:t>
            </w:r>
          </w:p>
        </w:tc>
        <w:tc>
          <w:tcPr>
            <w:tcW w:w="1559" w:type="dxa"/>
          </w:tcPr>
          <w:p w:rsidR="00932BDB" w:rsidRDefault="00B06241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7023">
              <w:rPr>
                <w:rFonts w:ascii="Times New Roman" w:hAnsi="Times New Roman" w:cs="Times New Roman"/>
                <w:sz w:val="24"/>
                <w:szCs w:val="24"/>
              </w:rPr>
              <w:t>1.12.2023 – 01.08.2024</w:t>
            </w:r>
          </w:p>
        </w:tc>
        <w:tc>
          <w:tcPr>
            <w:tcW w:w="2694" w:type="dxa"/>
          </w:tcPr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Creation of a European School Green Council;</w:t>
            </w:r>
          </w:p>
          <w:p w:rsidR="00932BDB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The first Summit of the ESGC.</w:t>
            </w:r>
          </w:p>
        </w:tc>
        <w:tc>
          <w:tcPr>
            <w:tcW w:w="2458" w:type="dxa"/>
          </w:tcPr>
          <w:p w:rsidR="00932BDB" w:rsidRDefault="00407023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Implemented of another Summit after the project’s completion</w:t>
            </w:r>
          </w:p>
          <w:p w:rsidR="00407023" w:rsidRDefault="00407023" w:rsidP="00932BD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Success in the implementation of green building practices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Number of participants to the first Summit: 20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 xml:space="preserve">Number of new initiatives implemented in terms of green building practices one year after </w:t>
            </w:r>
            <w:r w:rsidRPr="0040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project’s completion: 10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Number of schools being part of the council one year after the project’s completion: 20</w:t>
            </w:r>
          </w:p>
          <w:p w:rsidR="00407023" w:rsidRP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Participation to the Social Campaign: at least 100 posts contributing to the social campaign one year after the project’s</w:t>
            </w:r>
          </w:p>
          <w:p w:rsidR="00407023" w:rsidRDefault="00407023" w:rsidP="0040702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23">
              <w:rPr>
                <w:rFonts w:ascii="Times New Roman" w:hAnsi="Times New Roman" w:cs="Times New Roman"/>
                <w:sz w:val="24"/>
                <w:szCs w:val="24"/>
              </w:rPr>
              <w:t>completion (by sharing green building practices at school with the selected Hashtag).</w:t>
            </w:r>
          </w:p>
        </w:tc>
      </w:tr>
      <w:tr w:rsidR="00FC37DB" w:rsidTr="00F80FB4">
        <w:tc>
          <w:tcPr>
            <w:tcW w:w="704" w:type="dxa"/>
          </w:tcPr>
          <w:p w:rsidR="00932BDB" w:rsidRDefault="008A7E20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Ensure the project’s visibility and the one of its results and impacts;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Ensure the sustainability of the project’s results;</w:t>
            </w:r>
          </w:p>
          <w:p w:rsidR="00932BDB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Establish follow-up activities.</w:t>
            </w:r>
          </w:p>
        </w:tc>
        <w:tc>
          <w:tcPr>
            <w:tcW w:w="1276" w:type="dxa"/>
          </w:tcPr>
          <w:p w:rsidR="00932BDB" w:rsidRPr="00FC37DB" w:rsidRDefault="00B06241" w:rsidP="008A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 5</w:t>
            </w:r>
          </w:p>
        </w:tc>
        <w:tc>
          <w:tcPr>
            <w:tcW w:w="2693" w:type="dxa"/>
          </w:tcPr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Audience: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General public;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Schools;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Other institutions bodies active in the educational field;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Any entity active in the green sector;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Stakeholders;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Members of the press;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Universities;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Policy-makers at local, regional and national levels;</w:t>
            </w:r>
          </w:p>
          <w:p w:rsidR="00932BDB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- Participants of the local phases.</w:t>
            </w:r>
          </w:p>
          <w:p w:rsid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 euros</w:t>
            </w:r>
          </w:p>
        </w:tc>
        <w:tc>
          <w:tcPr>
            <w:tcW w:w="1701" w:type="dxa"/>
          </w:tcPr>
          <w:p w:rsidR="00932BDB" w:rsidRDefault="00B06241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Mine Vaganti NGO, Italy</w:t>
            </w:r>
          </w:p>
        </w:tc>
        <w:tc>
          <w:tcPr>
            <w:tcW w:w="1559" w:type="dxa"/>
          </w:tcPr>
          <w:p w:rsidR="00932BDB" w:rsidRDefault="00B06241" w:rsidP="00FC37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– 31.08.2024</w:t>
            </w:r>
          </w:p>
        </w:tc>
        <w:tc>
          <w:tcPr>
            <w:tcW w:w="2694" w:type="dxa"/>
          </w:tcPr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Project’s visibility at the local, regional, national and European level;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Project’ website where all the materials produced will be uploaded and accessible to the large public;</w:t>
            </w:r>
          </w:p>
          <w:p w:rsidR="00932BDB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Create a basis for future project ideas and actions to insure the project's long-term existence and impact.</w:t>
            </w:r>
          </w:p>
        </w:tc>
        <w:tc>
          <w:tcPr>
            <w:tcW w:w="2458" w:type="dxa"/>
          </w:tcPr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Focus groups with stakeholders will be organized in each partner country to assess stakeholder institutions' adoption of</w:t>
            </w:r>
          </w:p>
          <w:p w:rsidR="00932BDB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project practices.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social media posts and shares: at least 60 posts and 600 social media shares and likes are expected by the end of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the project.</w:t>
            </w:r>
          </w:p>
          <w:p w:rsidR="00B06241" w:rsidRP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Participation in Dissemination Conferences: Each partner country must have at least 30 participants to the National</w:t>
            </w:r>
          </w:p>
          <w:p w:rsidR="00B06241" w:rsidRDefault="00B06241" w:rsidP="00B062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sz w:val="24"/>
                <w:szCs w:val="24"/>
              </w:rPr>
              <w:t>Dissemination Conference</w:t>
            </w:r>
          </w:p>
        </w:tc>
      </w:tr>
    </w:tbl>
    <w:p w:rsidR="00932BDB" w:rsidRPr="00932BDB" w:rsidRDefault="00932BDB" w:rsidP="00932B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073D" w:rsidRDefault="0080073D" w:rsidP="008007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06241" w:rsidRDefault="00B06241" w:rsidP="0080073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41">
        <w:rPr>
          <w:rFonts w:ascii="Times New Roman" w:hAnsi="Times New Roman" w:cs="Times New Roman"/>
          <w:b/>
          <w:sz w:val="28"/>
          <w:szCs w:val="28"/>
        </w:rPr>
        <w:t>Working plans</w:t>
      </w:r>
    </w:p>
    <w:p w:rsidR="00B06241" w:rsidRDefault="00B06241" w:rsidP="0080073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940"/>
      </w:tblGrid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t>Work packages</w:t>
            </w:r>
          </w:p>
        </w:tc>
        <w:tc>
          <w:tcPr>
            <w:tcW w:w="1394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</w:tr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t>WP 1</w:t>
            </w:r>
          </w:p>
        </w:tc>
        <w:tc>
          <w:tcPr>
            <w:tcW w:w="13940" w:type="dxa"/>
          </w:tcPr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During the Kick-off meeting, the Coordinator will present to the partners the Partnership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greement which will contain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roles and responsibilities of each partner. It will contain also a GANTT of project implementation with all related deadlines.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Each partner will sign the document during the Kick-off meeting as a proof of commitment.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Management Plan will be drafted at the beginning of the project by the Project’s coordi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nator and introduced during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Kick-Off meeting to all partners. The Management Plan will contain all the details regarding the task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and sub-tasks of all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partners together with the dedicated deadlines.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In order to monitor the work of each partner organization, the Quality and Evaluat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Committee together with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Management Committee will make a control of the project’s implementation on a 3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onth-basis through the Progress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Reports. They will also control the documents and products mentioned in the Reports 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be uploaded in the shared Google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 folder.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Quality and Evaluation Committee will produce a Quality Report where the work of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partner organization will be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reported, and the report will be submitted to the project’s coordinator. The proejct’s coordinato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will also monitor the ongoing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work through Trello.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In case of the deadlines would not be meet or in case of poor quality of task performance,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ject’s coordinator will be able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to intervene and solve the issue.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Procurement Plan will be presented by the project’s coordinator to the Kick-Off meeting 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 all the budget details will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be defined for each task.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Accordingly, quarterly financial reports will have to be produced by all the partners reporting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details of all expenses done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within the project’s implementation within the reporting period as well as of its function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performance of project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tasks/activities.</w:t>
            </w:r>
          </w:p>
          <w:p w:rsidR="00B06241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project’s coordinator will be in charge of monitoring the use of budget at the level of the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artner organization, as well as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providing early warning in case of expenses exceeding expected standards of quality and allocations.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 Risk Management Plan will be established at the beginning of the project by the project’s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ordinator that will present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document during the Kick-Offf Meeting in order to discuss it with the partners, possi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bly complete it and collect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agreement of all partners on the last version of the document.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Risk Management will be conducted by the project’s coordinator, with the support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Risk Management Committee, and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will apply the Risk Management Plan. In case a situation not provided in the Plan would 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cur, the project’s coordinator,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together with the Risk Management Committee, will take the necessary and adapted decision.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Potential risks and relative corrective measures: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Risk 1: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Misunderstandings or conflicts within the Consortium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Correction: Constant online communication within the Consortium (Zoom, Trello, Dropbox,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mail), Production of Minutes of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physical and virtual meetings; Appointment of a Conflict Resolution Committee (1 representative per partner) in case of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conflict among partners.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Risk 2: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 Problems with the delivery of expected results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Correction: The coordinator will provide support to partner organizations by means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real-time communication (Skype,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Email, Social Media, and Phone, etc.). It will be able to address directly and consult the 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ional Agency about any cases of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doubts and difficulties emerging during the process of implementation.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Risk 3: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 Problems in respecting deadlines</w:t>
            </w:r>
          </w:p>
          <w:p w:rsid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Correction: Constant Monitoring and Intermediate Evaluation will provide all partners wit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an overview of each partner's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progress. Overview and early warning about incoming deadlines will be provided thro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ugh the Gantt Project software. </w:t>
            </w:r>
          </w:p>
          <w:p w:rsid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Constant communication, regular virtual meetings, and Transnational Partners' Meetin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gs will provide a framework for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applying modifications to the work programme and/or arrangements of support that might be needed.</w:t>
            </w:r>
          </w:p>
        </w:tc>
      </w:tr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WP 2</w:t>
            </w:r>
          </w:p>
        </w:tc>
        <w:tc>
          <w:tcPr>
            <w:tcW w:w="13940" w:type="dxa"/>
          </w:tcPr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WP will contain the following activities: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Research phase (1)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Guide’s development (2)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Guide’s review (3)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Local activity: implementation of green building practices in schools (4)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division of tasks and responsibilities of the WP will be as follows: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1: under the lead of Nachalno Tsani Ginchen, all the partners will execute a </w:t>
            </w: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research phase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(desk research) at the national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and at the European level.</w:t>
            </w:r>
          </w:p>
          <w:p w:rsid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2: under the lead of Nachalno Tsani Ginchen, all the partners will contribute to the developm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 of the </w:t>
            </w: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Guide will contain the following elements: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- What is a Green Building and why it is important to respond environmental issues, what </w:t>
            </w:r>
            <w:r w:rsidR="00F9207F">
              <w:rPr>
                <w:rFonts w:ascii="Times New Roman" w:hAnsi="Times New Roman" w:cs="Times New Roman"/>
                <w:sz w:val="24"/>
                <w:szCs w:val="24"/>
              </w:rPr>
              <w:t xml:space="preserve">are its positive impacts on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planet;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How to turn a building into a green building, with examples of existing green building practices already in place;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A step-by-step guideline to set up green building practices;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A template Environmental Action Plan;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- Templates to be used to assess progress and results.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structure of the Guide will be discussed among the partners based on the research phas</w:t>
            </w:r>
            <w:r w:rsidR="00F9207F">
              <w:rPr>
                <w:rFonts w:ascii="Times New Roman" w:hAnsi="Times New Roman" w:cs="Times New Roman"/>
                <w:sz w:val="24"/>
                <w:szCs w:val="24"/>
              </w:rPr>
              <w:t xml:space="preserve">e accomplished by all partners.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final decision will belong to the WP’s coordinator.</w:t>
            </w:r>
            <w:r w:rsidR="00F92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partners will select through a vote a set of practices found during the research phase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will elaborate a guideline on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how to proceed with their implementation in schools.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3: All partners will be in charge to submit the first draft of the Guide to </w:t>
            </w:r>
            <w:r w:rsidRPr="001A6140">
              <w:rPr>
                <w:rFonts w:ascii="Times New Roman" w:hAnsi="Times New Roman" w:cs="Times New Roman"/>
                <w:b/>
                <w:sz w:val="24"/>
                <w:szCs w:val="24"/>
              </w:rPr>
              <w:t>a national expert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field of green building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practices. An evaluation grid will be provided to these experts for them to provide proper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feedback on the quality of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material.</w:t>
            </w:r>
          </w:p>
          <w:p w:rsidR="00B06241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4: The selected </w:t>
            </w:r>
            <w:r w:rsidRPr="001A6140">
              <w:rPr>
                <w:rFonts w:ascii="Times New Roman" w:hAnsi="Times New Roman" w:cs="Times New Roman"/>
                <w:b/>
                <w:sz w:val="24"/>
                <w:szCs w:val="24"/>
              </w:rPr>
              <w:t>practices will be implemented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 xml:space="preserve"> in the school partners or associated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rtners following the guidelines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elaborated in the previous phase through local activities.</w:t>
            </w:r>
          </w:p>
        </w:tc>
      </w:tr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WP 3</w:t>
            </w:r>
          </w:p>
        </w:tc>
        <w:tc>
          <w:tcPr>
            <w:tcW w:w="13940" w:type="dxa"/>
          </w:tcPr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Co-creation sessions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co-creation sessions will by itself create a cooperation among schools and NGOs worki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with NFE and will serve as a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way to promote such cooperation in the future in case of success.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co-creation phase is fundamental to the creation of the Toolkit to be implemented with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as it will contribute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to increase the quality of the material by ensuring a cross-sectorial approach.</w:t>
            </w:r>
          </w:p>
          <w:p w:rsid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purpose of involving both schools and NGOs working with NFE is to offer innovative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 in order to encourage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knowledge and skills transfer to the students regarding green building practices.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participants will be as follows: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At least 1 representative for each school partner with the profile of teacher;</w:t>
            </w:r>
          </w:p>
          <w:p w:rsidR="00F9207F" w:rsidRPr="00494B75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At least 2 representatives of MVNGO (1 trainer and 1 project manager).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Joint Staff Training Event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training will be carried out by a trainer of MVNGO to support teachers and other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s’ staff members to be familiar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with NFE methodology and to use it as a tool to involve their students into the process of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mplementation of green building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practices at school. This activity will consequently promote the cooperation among NGOs working with NFE and schools.</w:t>
            </w:r>
          </w:p>
          <w:p w:rsid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Also, in order for the teachers and schools’ staff members to implement the activities of the Too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lkit, it is fundamental for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them to attend a propre training on how to implement such kind of activities with their stude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nts in order to include it into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school education.</w:t>
            </w:r>
          </w:p>
          <w:p w:rsidR="00F9207F" w:rsidRPr="00494B75" w:rsidRDefault="00F9207F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Participants: No. 5 participants per partner belonging to the categories of youth workers, school staff, teachers.</w:t>
            </w:r>
          </w:p>
          <w:p w:rsidR="00494B75" w:rsidRPr="00494B75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b/>
                <w:sz w:val="24"/>
                <w:szCs w:val="24"/>
              </w:rPr>
              <w:t>Local activities</w:t>
            </w:r>
          </w:p>
          <w:p w:rsidR="00B06241" w:rsidRDefault="00494B75" w:rsidP="00494B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The local activities will allow the partners to get a proper evaluation of the Toolkit and 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 this way the quality of the </w:t>
            </w:r>
            <w:r w:rsidRPr="00494B75">
              <w:rPr>
                <w:rFonts w:ascii="Times New Roman" w:hAnsi="Times New Roman" w:cs="Times New Roman"/>
                <w:sz w:val="24"/>
                <w:szCs w:val="24"/>
              </w:rPr>
              <w:t>material.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- 10 participants per school partner;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Aged between 9 and 13 years old;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Registered as student in the school partner at the moment of the local activities;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Students with disabilities will have priority in the selection process.</w:t>
            </w:r>
          </w:p>
          <w:p w:rsid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selection process will be done through direct communication to the children and indirect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communication to the students’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parents. The written authorization of the participants’ parents or legal representative will be required.</w:t>
            </w:r>
          </w:p>
        </w:tc>
      </w:tr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WP 4</w:t>
            </w:r>
          </w:p>
        </w:tc>
        <w:tc>
          <w:tcPr>
            <w:tcW w:w="13940" w:type="dxa"/>
          </w:tcPr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Establishment of the GIFs ESGC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partners, under the lead of the WP’s coordinator, will establish the GIFs European Scho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ols Green Council by appointing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first two representatives per school. The partners will produce a Commitment Agreem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 which will be signed by all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schools’ members the Council and by all the new schools which may integrate the Council in the future.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 xml:space="preserve">As a first step, the council will produce a Green Building Management Strategic Plan where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members of the council will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write the date, the place and the agenda of the next Council Summit, the objectives of the cou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ncil, the strategy they want to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carry out in order to achieve the objectives. The Council will be designed to meet every year.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First Summit of the GIFs ESGC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partners will organize the first Summit of the ESGC where the members will produce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heir first Report regarding the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green building practices they implemented and the activities they used in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rder to involve their students.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members will also discuss new green building initiatives to implement in the following 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and set the date of the next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Summit.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A template of Report will be produced by the consortium to provide the schools with the necessary guidance.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Social Campaign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Social Campaign activity will be led by MVNGO.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partnership will agree on a hashtag to use for the social campaign (e.g. #GreenYourSchool).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Teachers, schools’ staff members, with the involvement of their students, will work on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social campaign by posting on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Instagram short videos/pictures of what is done in the school to become Green Buildings and by using the selected hashtag.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partners will produce a Communication Plan for the Social Campaign. The first draft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ill be made and proposed to the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partners by MVNGO.</w:t>
            </w:r>
          </w:p>
          <w:p w:rsidR="00B06241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Teachers and schools’ staff members will implement the communication plan that has been prepared by the Consortium.</w:t>
            </w:r>
          </w:p>
        </w:tc>
      </w:tr>
      <w:tr w:rsidR="00B06241" w:rsidTr="00494B75">
        <w:tc>
          <w:tcPr>
            <w:tcW w:w="1980" w:type="dxa"/>
          </w:tcPr>
          <w:p w:rsidR="00B06241" w:rsidRPr="00B06241" w:rsidRDefault="00B06241" w:rsidP="008007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41">
              <w:rPr>
                <w:rFonts w:ascii="Times New Roman" w:hAnsi="Times New Roman" w:cs="Times New Roman"/>
                <w:b/>
                <w:sz w:val="24"/>
                <w:szCs w:val="24"/>
              </w:rPr>
              <w:t>WP 5</w:t>
            </w:r>
          </w:p>
        </w:tc>
        <w:tc>
          <w:tcPr>
            <w:tcW w:w="13940" w:type="dxa"/>
          </w:tcPr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Dissemination Activities: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A.1 Communication, dissemination and exploitation activities.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Applicant and Dissemination Coordinator will realise the following preparatory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ctivities whose outputs will be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scheduled in the plan for dissemination and exploitation of results: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Creation of the project logo and use of the Erasmus + logo in all the project materials;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Creation of the social media accounts of the project and the website of the project;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A.2 Digital communication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Communication through digital means will last for the entire duration of the project.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Communication of project activities through the social media;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Monthly newsletter of the project;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Communication carried out by partner organisations through their own websites and social media.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Results and outputs will be shared through the social media accounts and the newsletter;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A.3 Communication and dissemination through physical means.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Publishing a press release at the moment of transnational project meetings, the start and the end of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learning activities,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local multiplier events and communication to local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Interviews with local stakeholders and collection of feedback about project results and learning activities;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b/>
                <w:sz w:val="24"/>
                <w:szCs w:val="24"/>
              </w:rPr>
              <w:t>A.4 The Conference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 xml:space="preserve"> will be implemented at the national level, as an open event,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audience set to amount to 35 </w:t>
            </w: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individuals.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Audience: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General public;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Schools;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Other institutions bodies active in the educational field;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Any entity active in the green sector;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Stakeholders;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Members of the press;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Universities;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Policy-makers at local, regional and national levels;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Participants of the local phases.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The agenda of the Conference will be the following: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Introduction to the project;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Activities and results achieved;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Presentation of participants' testimonials of the local phases;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Presentation of the Intellectual outputs;</w:t>
            </w:r>
          </w:p>
          <w:p w:rsidR="00F9207F" w:rsidRPr="00F9207F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Official Closing;</w:t>
            </w:r>
          </w:p>
          <w:p w:rsidR="00B06241" w:rsidRDefault="00F9207F" w:rsidP="00F9207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7F">
              <w:rPr>
                <w:rFonts w:ascii="Times New Roman" w:hAnsi="Times New Roman" w:cs="Times New Roman"/>
                <w:sz w:val="24"/>
                <w:szCs w:val="24"/>
              </w:rPr>
              <w:t>- Evaluation and co-design of follow-up and new partnership.</w:t>
            </w:r>
          </w:p>
        </w:tc>
      </w:tr>
    </w:tbl>
    <w:p w:rsidR="00B06241" w:rsidRPr="00B06241" w:rsidRDefault="00B06241" w:rsidP="008007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B06241" w:rsidRPr="00B06241" w:rsidSect="00800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65" w:right="454" w:bottom="567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0B" w:rsidRDefault="006E620B" w:rsidP="0080073D">
      <w:pPr>
        <w:spacing w:after="0" w:line="240" w:lineRule="auto"/>
      </w:pPr>
      <w:r>
        <w:separator/>
      </w:r>
    </w:p>
  </w:endnote>
  <w:endnote w:type="continuationSeparator" w:id="0">
    <w:p w:rsidR="006E620B" w:rsidRDefault="006E620B" w:rsidP="0080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F9" w:rsidRDefault="00B00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F9" w:rsidRDefault="00B00B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F9" w:rsidRDefault="00B00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0B" w:rsidRDefault="006E620B" w:rsidP="0080073D">
      <w:pPr>
        <w:spacing w:after="0" w:line="240" w:lineRule="auto"/>
      </w:pPr>
      <w:r>
        <w:separator/>
      </w:r>
    </w:p>
  </w:footnote>
  <w:footnote w:type="continuationSeparator" w:id="0">
    <w:p w:rsidR="006E620B" w:rsidRDefault="006E620B" w:rsidP="0080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F9" w:rsidRDefault="00B00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3D" w:rsidRDefault="00B00BF9">
    <w:pPr>
      <w:pStyle w:val="Header"/>
    </w:pPr>
    <w:bookmarkStart w:id="0" w:name="_GoBack"/>
    <w:r w:rsidRPr="00B00BF9">
      <w:rPr>
        <w:noProof/>
        <w:lang w:eastAsia="ro-RO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7941310</wp:posOffset>
          </wp:positionH>
          <wp:positionV relativeFrom="paragraph">
            <wp:posOffset>-335280</wp:posOffset>
          </wp:positionV>
          <wp:extent cx="2352675" cy="493387"/>
          <wp:effectExtent l="0" t="0" r="0" b="2540"/>
          <wp:wrapSquare wrapText="bothSides"/>
          <wp:docPr id="2" name="Picture 2" descr="E:\Daniel Voinea\My Documents\Erasmus 2022\GIF\Logo\EN Co-funded by the EU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niel Voinea\My Documents\Erasmus 2022\GIF\Logo\EN Co-funded by the EU_PANT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93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584EC6" w:rsidRPr="0080073D">
      <w:rPr>
        <w:noProof/>
        <w:lang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7093585</wp:posOffset>
          </wp:positionH>
          <wp:positionV relativeFrom="paragraph">
            <wp:posOffset>-446405</wp:posOffset>
          </wp:positionV>
          <wp:extent cx="771525" cy="663729"/>
          <wp:effectExtent l="0" t="0" r="0" b="3175"/>
          <wp:wrapSquare wrapText="bothSides"/>
          <wp:docPr id="15" name="Picture 15" descr="C:\Users\Asus\Downloads\filiz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sus\Downloads\filiz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4EC6" w:rsidRPr="00584EC6">
      <w:rPr>
        <w:noProof/>
        <w:lang w:eastAsia="ro-R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-354330</wp:posOffset>
          </wp:positionV>
          <wp:extent cx="887827" cy="514350"/>
          <wp:effectExtent l="0" t="0" r="7620" b="0"/>
          <wp:wrapSquare wrapText="bothSides"/>
          <wp:docPr id="1" name="Picture 1" descr="E:\Daniel Voinea\My Documents\Erasmus 2022\GIF\Logo\Zemy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niel Voinea\My Documents\Erasmus 2022\GIF\Logo\Zemyna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827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4EC6" w:rsidRPr="0080073D"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4217035</wp:posOffset>
          </wp:positionH>
          <wp:positionV relativeFrom="paragraph">
            <wp:posOffset>-449580</wp:posOffset>
          </wp:positionV>
          <wp:extent cx="734060" cy="666750"/>
          <wp:effectExtent l="0" t="0" r="8890" b="0"/>
          <wp:wrapSquare wrapText="bothSides"/>
          <wp:docPr id="14" name="Picture 14" descr="E:\Daniel Voinea\My Documents\Erasmus 2022\GIF\Logo\MVNG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niel Voinea\My Documents\Erasmus 2022\GIF\Logo\MVNGO 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EC6" w:rsidRPr="0080073D">
      <w:rPr>
        <w:noProof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2502535</wp:posOffset>
          </wp:positionH>
          <wp:positionV relativeFrom="paragraph">
            <wp:posOffset>-326390</wp:posOffset>
          </wp:positionV>
          <wp:extent cx="1047750" cy="466090"/>
          <wp:effectExtent l="0" t="0" r="0" b="0"/>
          <wp:wrapSquare wrapText="bothSides"/>
          <wp:docPr id="13" name="Picture 13" descr="C:\Users\Asus\Download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ownloads\Logo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EC6">
      <w:rPr>
        <w:noProof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1245235</wp:posOffset>
          </wp:positionH>
          <wp:positionV relativeFrom="paragraph">
            <wp:posOffset>-382905</wp:posOffset>
          </wp:positionV>
          <wp:extent cx="676275" cy="666750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073D"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647700" cy="6477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F9" w:rsidRDefault="00B00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70"/>
    <w:rsid w:val="001A6140"/>
    <w:rsid w:val="00407023"/>
    <w:rsid w:val="00494B75"/>
    <w:rsid w:val="00584EC6"/>
    <w:rsid w:val="00600646"/>
    <w:rsid w:val="00661410"/>
    <w:rsid w:val="006E620B"/>
    <w:rsid w:val="0080073D"/>
    <w:rsid w:val="008947F8"/>
    <w:rsid w:val="008A7E20"/>
    <w:rsid w:val="008C32A6"/>
    <w:rsid w:val="00932BDB"/>
    <w:rsid w:val="0097129E"/>
    <w:rsid w:val="009B3FD3"/>
    <w:rsid w:val="009C208E"/>
    <w:rsid w:val="00B00BF9"/>
    <w:rsid w:val="00B06241"/>
    <w:rsid w:val="00B668A6"/>
    <w:rsid w:val="00B66ED8"/>
    <w:rsid w:val="00BD1497"/>
    <w:rsid w:val="00CA28EB"/>
    <w:rsid w:val="00D30567"/>
    <w:rsid w:val="00D344CC"/>
    <w:rsid w:val="00ED6D70"/>
    <w:rsid w:val="00F80FB4"/>
    <w:rsid w:val="00F9207F"/>
    <w:rsid w:val="00F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13752-E265-49B4-8294-497C379A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7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0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3D"/>
  </w:style>
  <w:style w:type="paragraph" w:styleId="Footer">
    <w:name w:val="footer"/>
    <w:basedOn w:val="Normal"/>
    <w:link w:val="FooterChar"/>
    <w:uiPriority w:val="99"/>
    <w:unhideWhenUsed/>
    <w:rsid w:val="00800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3D"/>
  </w:style>
  <w:style w:type="table" w:styleId="TableGrid">
    <w:name w:val="Table Grid"/>
    <w:basedOn w:val="TableNormal"/>
    <w:uiPriority w:val="39"/>
    <w:rsid w:val="0093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2897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Miki</cp:lastModifiedBy>
  <cp:revision>11</cp:revision>
  <dcterms:created xsi:type="dcterms:W3CDTF">2023-02-21T17:48:00Z</dcterms:created>
  <dcterms:modified xsi:type="dcterms:W3CDTF">2023-05-01T06:41:00Z</dcterms:modified>
</cp:coreProperties>
</file>